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21 vom 23. Februar 2024</w:t>
      </w:r>
    </w:p>
    <w:p>
      <w:r>
        <w:t>VS Kantonsgericht, 2024-02-23, FR</w:t>
      </w:r>
    </w:p>
    <w:p>
      <w:r>
        <w:rPr>
          <w:b/>
        </w:rPr>
        <w:t xml:space="preserve">Quelle: </w:t>
      </w:r>
      <w:r>
        <w:t>https://mcp.opencaselaw.ch/entscheid/vs_gerichte_P1 22 21</w:t>
      </w:r>
    </w:p>
    <w:p>
      <w:r>
        <w:t>FR: VS_GERICHTE P1 22 21 du 23 février 2024</w:t>
      </w:r>
    </w:p>
    <w:p>
      <w:r>
        <w:t>IT: VS_GERICHTE P1 22 21 del 23 febbraio 2024</w:t>
      </w:r>
    </w:p>
    <w:p>
      <w:pPr>
        <w:pStyle w:val="Heading2"/>
      </w:pPr>
      <w:r>
        <w:t>Regeste</w:t>
      </w:r>
    </w:p>
    <w:p>
      <w:r>
        <w:t>P1 22 21 DÉCISION DU 23 FÉVRIER 2024 Cour pénale II Composition : Bertrand Dayer, président ; Béatrice Neyroud, juge ; Frédéric Pitteloud, juge suppléant ; Yves Burnier, greffier en la cause MINISTÈRE PUBLIC DU CANTON DU VALAIS, appelé, représenté par Camilla Bruchez, procureure auprès de l’office régional du ministère public du Bas-Valais et S _________, partie plaignante appelée, représentée par Maître T _________ avocate à A _________ et U _________ (anciennement V _________), partie plaignante appelée, représentée par Maître W _________, avocate à B _________ et X _________, partie plaignante appelée</w:t>
      </w:r>
    </w:p>
    <w:p>
      <w:pPr>
        <w:pStyle w:val="Heading2"/>
      </w:pPr>
      <w:r>
        <w:t>Erwägungen</w:t>
      </w:r>
    </w:p>
    <w:p>
      <w:r>
        <w:rPr>
          <w:b/>
        </w:rPr>
        <w:t>E. 4</w:t>
      </w:r>
    </w:p>
    <w:p>
      <w:r>
        <w:t>CPP) ; que l’appel est « réputé retiré » (« gilt als zurückgezogen » ; « è considerato ritirato ») si la partie qui l’a déclaré ne peut pas être citée à comparaître (art. 407 al. 1 let. c CPP) ; que, si le prévenu qui a interjeté appel doit comparaître personnellement à l'audience mais refuse de révéler où il réside, si bien que la citation ne peut lui être notifiée, la fiction de retrait de l'art. 407 al. 1 let. c CPP intervient sans autre forme de procès ; qu’une notification de la citation par voie édictale au sens de l’art. 88 al. 1 CPP n’entre donc pas en considération, faute de quoi ladite fiction resterait toujours lettre morte (ATF 148 IV 362 consid. 1.6.2) ; que peu importe en outre, dans ce cas, que l’appelant soit en contact avec son défenseur (même arrêt consid. 1.10.3) ; qu’un plaideur ne peut ainsi exiger la mise en œuvre d’une procédure d’appel tout en refusant d’y collaborer ; qu’un tel comportement est contraire à la bonne foi et ne mérite aucune protection juridique (même arrêt consid. 1.10.3 ; cf., ég., ATF 149 IV 259 consid. 2.4.1) ; qu’en l’espèce, le prévenu qui a interjeté appel doit être cité personnellement à comparaître aux débats de seconde instance (art. 87 al. 4 et 405 al. 2 1e phr. CPP) ; que, comme il l’a été indiqué à son défenseur le 30 janvier 2024, les conditions légales permettant le traitement de l’appel en procédure écrite (art. 406 CPP) ne sont pas réunies in casu, dans la mesure où, en particulier, l’appelant conteste notamment sa condamnation du chef de l’art. 198 CP en se réclamant du principe in dubio pro reo (art. 406 al. 1 let. a CPP a contrario) ; que, quoi qu’en pense l’avocat de l’intéressé (cf. sa lettre du 29 janvier 2024, p. 2), il est d’emblée exclu d’ordonner la procédure écrite avec l’accord des parties au sens de l’art. 406 al. 2 CPP, puisque le jugement de première instance n’a pas été rendu par un juge unique (art. 406 al. 2 let. b CPP), étant rappelé que les conditions de l’art. 406 al. 2 let. a et b CPP doivent être réalisées cumulativement (ATF 147 IV 127 consid. 2.2.2) ; que, cela étant précisé, le prévenu appelant, qui « n’a plus de domicile en Suisse » et « a quitté le continent », refuse de divulguer son adresse et même son pays de résidence, nonobstant les deux délais de dix et cinq jours qui lui ont été octroyés à cet effet par la direction de la procédure ; que l’ordonnance du 30 janvier 2024 lui impartissant le dernier délai de cinq jours pour fournir son adresse exacte a été notifiée à son défenseur (cf. art. 87 al. 3 CPP) le 31 janvier 2024 ; que ce délai est donc arrivé à échéance le (lundi) 5 février 2024, à minuit (cf. art. 90 al. 1 CPP) ; que la lettre remise à la poste le 6 février 2024, dans laquelle Me Z _________ indique que le prévenu</w:t>
      </w:r>
    </w:p>
    <w:p>
      <w:r>
        <w:t>- 8 - « souhaite élire domicile en [s]on [é]tude », apparaît donc tardive et ne saurait être prise en considération ; qu’il s’ensuit le retrait de l’appel au sens de l’art. 407 al. 1 let. c CPP, conséquence qui est expressément mentionnée dans l’ordonnance précitée du 30 janvier 2024 en cas de défaut d’indication de l’adresse de l’intéressé dans le délai de cinq jours (cf. art. 93 CPP) ; que, conformément à la jurisprudence susrappelée, il n’importe que le prévenu appelant ait été informé par son défenseur de sa citation à comparaître aux débats d’appel ; qu’il sied encore de relever que le comportement du prévenu heurte les règles de la bonne foi ; qu’il ne saurait en effet exiger que le Tribunal cantonal entre en matière sur son appel, alors même que, comme on vient de le voir, il refuse de révéler son lieu de résidence et son adresse, et que, de surcroît, il indique qu’il ne « comparaîtra pas » et qu’il n’a « pas l’intention de revenir avant la prescription de la peine » ; qu’autrement dit, non seulement l’intéressé refuse de collaborer à la procédure d’appel qu’il a lui-même initiée, mais il annonce dès à présent qu’il n’entend pas exécuter la « peine maximale de 34 mois compatible avec le sursis partiel » dont il sollicite pourtant le prononcé par la juridiction d’appel pour sanctionner les crimes et délits qu’il ne conteste pas avoir commis (déclaration d’appel du 17 février 2022, p. 9) ; qu’eu égard à la simplicité de la cause et au fait que la procédure de seconde instance n’a pas été conduite jusqu’à son terme, ainsi qu’aux principes de la couverture des frais et de l'équivalence des prestations, les frais y relatifs sont fixés à 200 fr. (art. 13 al. 1 et 2, 14 al. 1 et 22 let. f LTar) ; qu’ils sont mis à la charge de l’appelant (art. 428 al. 1 CPP) ; que le défenseur d’office est indemnisé conformément au tarif des avocats de la Confédération ou du canton du for du procès (art. 135 al. 1 CPP) ; que l’art. 135 s’applique par analogie à l’indemnisation du conseil juridique gratuit (art. 138 al. 1 1e phr. CPP) ; que, suivant l’art. 27 al. 1 LTar, les honoraires sont fixés entre un minimum et un maximum d’après la nature et l’importance de la cause, ses difficultés, l’ampleur du travail, le temps utilement consacré par le conseil juridique et la situation financière de la partie ; qu’en instance d’appel devant le Tribunal cantonal, les honoraires du conseil juridique oscillent entre 1100 fr. et 8800 fr. (art. 36 let. j LTar) ; que le conseil juridique habilité à se faire indemniser en vertu des dispositions en matière d'assistance judiciaire perçoit, en sus du remboursement de ses débours justifiés, des</w:t>
      </w:r>
    </w:p>
    <w:p>
      <w:r>
        <w:t>- 9 - honoraires correspondant à 70% des honoraires prévus aux art. 31 à 40 LTar, mais au moins à une rémunération équitable telle que définie par la jurisprudence du Tribunal fédéral (art. 30 al. 1 LTar) ; qu’est rémunéré au plein tarif par le département dont relèvent les finances le conseil juridique commis d'office au sens de l'art. 132 al. 1 let. a CPP (défense obligatoire) (art. 30 al. 2 let. a LTar) ; que peu importe, à cet égard, que le prévenu ait été mis au bénéfice de l’assistance judiciaire (cf. arrêt 6B_1422/2016 du</w:t>
      </w:r>
    </w:p>
    <w:p>
      <w:r>
        <w:rPr>
          <w:b/>
        </w:rPr>
        <w:t>E. 5</w:t>
      </w:r>
    </w:p>
    <w:p>
      <w:r>
        <w:t>septembre 2017 consid. 3.4) ; qu’en l’espèce, compte tenu de la peine qu’il encourait, le prévenu se trouve dans un cas de défense obligatoire (cf. art. 130 let. b CPP) ; que son défenseur d’office doit dès lors être rémunéré « au plein tarif » pour la procédure de seconde instance ; que l’activité utilement exercée céans par Me Z _________ a pour l’essentiel consisté à relire la déclaration d’appel (11 p.), préparée par une stagiaire, et à rédiger deux brefs courriers à l’intention du tribunal ; que, dans ces conditions, sa rémunération peut être arrêtée, TVA comprise, à 1800 fr., dont 55 fr. de débours (frais de copie [50 ct. la page] et de port) ; que, dès que sa situation financière le lui permettra, le prévenu remboursera au canton du Valais la somme de 1800 fr. (art. 135 al. 4 CPP) ; que, selon la jurisprudence, la rémunération de l'avocat d'office peut être inférieure à celle du mandataire privé ; qu’elle doit néanmoins être équitable (ATF 141 III 560 consid. 3.2.2) ; que, pour être considérée comme telle, l'indemnité doit non seulement couvrir les frais généraux de l'avocat, mais en plus permettre d'obtenir un revenu modeste, qui ne soit pas uniquement symbolique (arrêt 6B_99/2020 du 21 avril 2020 consid. 2.2); que, d'expérience, les frais généraux d'un avocat représentent d'ordinaire entre 40% et 50% du revenu professionnel brut ; que, de manière constante, le Tribunal fédéral estime que l'indemnité équitable, pour un avocat, est au minimum de 180 fr. par heure en moyenne suisse, des situations particulières dans les cantons pouvant justifier un montant plus haut ou plus bas (arrêts 5D_149/2016 du 30 janvier 2017 consid. 3.2 ; 5D_4/2016 du 26 février 2016 consid. 4.3.2 et les réf.) ; que l’activité utilement exercée en seconde instance par Me T _________ conseil juridique gratuit de la partie plaignante S _________, a, pour l’essentiel, consisté à prendre connaissance de la déclaration d’appel du prévenu (11 p.) et à rédiger la lettre du 14 décembre 2023, étant précisé que le temps qu’elle a consacré à la lecture du jugement de première instance, long de 90 pages, est compris dans l’indemnité de 2500</w:t>
      </w:r>
    </w:p>
    <w:p>
      <w:r>
        <w:t>- 10 - fr. qui lui a été allouée par le tribunal d’arrondissement (cf. SEITZ, Die Entschädigung der amtlichen Verteidigung, 2021, p. 46) ; que sa rémunération sera dès lors être fixée à 200 fr., débours et TVA compris ; que le canton du Valais versera ainsi à Me T _________ une indemnité de 200 fr. pour rétribuer son activité de conseil juridique gratuit de S _________ en seconde instance ; que l’activité utilement accomplie céans par Me W _________, conseil juridique gratuit de la partie plaignante U _________ (anciennement V _________) a, pour sa part, consisté, à adresser plusieurs e-mails à sa cliente et à la « LAVI » (40 min.), une très brève lettre (du 9 mars 2023) au tribunal (5 min.), ainsi qu’à préparer et rédiger l’écriture du 21 février 2024 (45 min.), à l’exclusion du temps employé à lire le jugement de première instance (cf. supra) ; que, dans ces conditions, ses honoraires sont arrêtés à 292 fr., TVA (au taux de 7,7%, respectivement de 8,1% dès le 1er janvier 2024), comprise ; que s’y ajoutent ses débours justifiés (frais de copie [50 ct. la page] et de port) que l’on peut estimer à 20 fr., TVA incluse ; que le canton du Valais versera dès lors à Maître W _________ une indemnité de 312 fr. en rétribution de son activité de conseil juridique gratuit de U _________ (anciennement V _________) en seconde instance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